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РФ определило случаи, когда ФКП сможет проводить кадастровые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Правительство РФ </w:t>
      </w:r>
      <w:hyperlink r:id="rId8" w:history="1">
        <w:r>
          <w:rPr>
            <w:rStyle w:val="ab"/>
            <w:rFonts w:ascii="Times New Roman" w:hAnsi="Times New Roman" w:cs="Times New Roman"/>
            <w:b/>
            <w:bCs/>
            <w:color w:val="000000" w:themeColor="text1"/>
            <w:sz w:val="28"/>
            <w:u w:val="none"/>
          </w:rPr>
          <w:t>утвердило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</w:rPr>
        <w:t> постановление</w:t>
      </w:r>
      <w:r>
        <w:rPr>
          <w:rFonts w:ascii="Times New Roman" w:hAnsi="Times New Roman" w:cs="Times New Roman"/>
          <w:b/>
          <w:bCs/>
          <w:sz w:val="28"/>
        </w:rPr>
        <w:t>, определившее перечень случаев, при которых ФГБУ «Федеральная кадастровая палата Росреестра» (ФКП) вправе выполнять кадастровые работы и осуществлять подготовку документов, необходимых для внесения сведений в ЕГРН</w:t>
      </w:r>
      <w:r>
        <w:rPr>
          <w:rFonts w:ascii="Times New Roman" w:hAnsi="Times New Roman" w:cs="Times New Roman"/>
          <w:b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Постановление разработано Росреестром в развитие положений Федерального закона от 30.12.2021 № 449-ФЗ, предусматривающего право ФГБУ «ФКП Росреестра» выполнять кадастровые работы и работы по подготовке документов, необходимых для внесения сведений в реестр границ ЕГРН, в случаях, установленных Правительством РФ.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Данный подход направлен на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решение задач по завершению кадастрового учета государственного имущества, определению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утвержденному перечню, ФКП наделено правом проводить кадастровые работы в отношении объектов, находящихся в государственной и муниципальной собственности. В настоящее время доля объектов федеральной собственности, в отношении которых зарегистрированы права, составляет 43,6%. Работа по постановке таких объектов на кадастровый учет будет усилена в рамках комплексного плана по наполнению ЕГРН полными и точными сведениями, а также Национальной системы пространственных данных, к выполнению которой Росреестр приступил в 2022 году.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Также в перечень вошли объекты, необходимые для обороны и безопасности, оборонного производства; производства ядовитых веществ, наркотических средств; федеральных энергетических систем; использования атомной энергии; федерального транспорта, путей сообщения, информации, информационных технологий и связи; космической деятельности.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постановлению Правительства РФ, в целях развития жилищного строительства специалисты ФКП смогут проводить кадастровые работы с объектами недвижимости единого института развития в жилищной сфере, которым является АО «ДОМ.РФ». Это объекты, в отношении которых «ДОМ.РФ» выступает в качестве агента от имени Российской Федерации.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предусмотрено, что ФКП сможет проводить комплексные кадастровые работы в случае их финансирования за счет средств субъектов или муниципальных районов и округов, а также за счет субсидий из федерального бюджета, направляемых </w:t>
      </w: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субъекты.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Работники ФКП для возможности выполнения кадастровых работ должны являться кадастровыми инженерами и членами саморегулируемой организации кадастровых инженеров.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Наделение ФКП правом выполнения кадастровых работ в отношении объектов недвижимости, предусмотренных Перечнем, не ограничивает возможности осуществления соответствующих работ иными кадастровыми инженерами.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Кроме того, сотрудники ФКП могут заниматься подготовкой документов для </w:t>
      </w:r>
      <w:proofErr w:type="gramStart"/>
      <w:r>
        <w:rPr>
          <w:rFonts w:ascii="Times New Roman" w:hAnsi="Times New Roman" w:cs="Times New Roman"/>
          <w:bCs/>
          <w:sz w:val="28"/>
        </w:rPr>
        <w:t>внесения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ЕГРН сведений о границах между регионами, границах муниципалитетов, населенных пунктов, территориальных зон, зон с особыми условиями использования территории, публичных сервитутов, охотничьих угодий, береговых линий (границ водных объектов), границ Байкальской природной территории и ее экологических зон. Необходимость данных работ обусловлена низкими показателями наполнения ЕГРН сведениями о границах таких объектов, что не позволяет раскрыть в полной мере градостроительный потенциал территорий регионов и муниципальных </w:t>
      </w:r>
      <w:r>
        <w:rPr>
          <w:rFonts w:ascii="Times New Roman" w:hAnsi="Times New Roman" w:cs="Times New Roman"/>
          <w:bCs/>
          <w:sz w:val="28"/>
        </w:rPr>
        <w:lastRenderedPageBreak/>
        <w:t>образований, а также исключить возможные споры в связи с неопределенностью правового режима земельных участков.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1280004?index=0&amp;rangeSize=1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26</cp:revision>
  <dcterms:created xsi:type="dcterms:W3CDTF">2021-07-30T12:29:00Z</dcterms:created>
  <dcterms:modified xsi:type="dcterms:W3CDTF">2022-02-03T14:39:00Z</dcterms:modified>
</cp:coreProperties>
</file>