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rPr>
          <w:rFonts w:ascii="Times New Roman" w:hAnsi="Times New Roman" w:cs="Times New Roman"/>
          <w:sz w:val="28"/>
        </w:rPr>
      </w:pPr>
      <w:r>
        <w:rPr>
          <w:rFonts w:ascii="Segoe UI" w:hAnsi="Segoe UI" w:cs="Segoe UI"/>
          <w:b/>
          <w:noProof/>
          <w:sz w:val="24"/>
          <w:szCs w:val="24"/>
          <w:lang w:eastAsia="ru-RU"/>
        </w:rPr>
        <w:drawing>
          <wp:anchor distT="0" distB="0" distL="114300" distR="114300" simplePos="0" relativeHeight="251658239" behindDoc="0" locked="0" layoutInCell="1" allowOverlap="1">
            <wp:simplePos x="0" y="0"/>
            <wp:positionH relativeFrom="column">
              <wp:posOffset>165049</wp:posOffset>
            </wp:positionH>
            <wp:positionV relativeFrom="page">
              <wp:posOffset>848563</wp:posOffset>
            </wp:positionV>
            <wp:extent cx="2700020" cy="1104265"/>
            <wp:effectExtent l="0" t="0" r="5080" b="635"/>
            <wp:wrapSquare wrapText="bothSides"/>
            <wp:docPr id="3" name="Рисунок 3" descr="D:\Назаренко В\5. логотип\логотипы КК\Лого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азаренко В\5. логотип\логотипы КК\Лого (4).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231" t="20089" r="9902" b="19643"/>
                    <a:stretch/>
                  </pic:blipFill>
                  <pic:spPr bwMode="auto">
                    <a:xfrm>
                      <a:off x="0" y="0"/>
                      <a:ext cx="2700020" cy="11042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pPr>
        <w:spacing w:after="0"/>
        <w:rPr>
          <w:rFonts w:ascii="Times New Roman" w:hAnsi="Times New Roman" w:cs="Times New Roman"/>
          <w:sz w:val="28"/>
        </w:rPr>
      </w:pPr>
    </w:p>
    <w:p>
      <w:pPr>
        <w:spacing w:after="0"/>
        <w:jc w:val="center"/>
        <w:rPr>
          <w:rFonts w:ascii="Times New Roman" w:hAnsi="Times New Roman" w:cs="Times New Roman"/>
          <w:sz w:val="28"/>
        </w:rPr>
      </w:pPr>
    </w:p>
    <w:p>
      <w:pPr>
        <w:spacing w:after="0"/>
        <w:jc w:val="right"/>
        <w:rPr>
          <w:rFonts w:ascii="Times New Roman" w:hAnsi="Times New Roman" w:cs="Times New Roman"/>
          <w:sz w:val="28"/>
        </w:rPr>
      </w:pPr>
    </w:p>
    <w:p>
      <w:pPr>
        <w:spacing w:after="0"/>
        <w:jc w:val="right"/>
        <w:rPr>
          <w:rFonts w:ascii="Times New Roman" w:hAnsi="Times New Roman" w:cs="Times New Roman"/>
          <w:b/>
          <w:sz w:val="28"/>
        </w:rPr>
      </w:pPr>
      <w:r>
        <w:rPr>
          <w:rFonts w:ascii="Times New Roman" w:hAnsi="Times New Roman" w:cs="Times New Roman"/>
          <w:b/>
          <w:sz w:val="28"/>
        </w:rPr>
        <w:t>ПРЕСС-РЕЛИЗ</w:t>
      </w:r>
      <w:r>
        <w:rPr>
          <w:rFonts w:ascii="Times New Roman" w:hAnsi="Times New Roman" w:cs="Times New Roman"/>
          <w:sz w:val="28"/>
        </w:rPr>
        <w:br w:type="textWrapping" w:clear="all"/>
      </w:r>
      <w:r>
        <w:rPr>
          <w:rFonts w:ascii="Times New Roman" w:hAnsi="Times New Roman" w:cs="Times New Roman"/>
          <w:b/>
          <w:sz w:val="28"/>
        </w:rPr>
        <w:br w:type="textWrapping" w:clear="all"/>
      </w:r>
    </w:p>
    <w:p>
      <w:pPr>
        <w:spacing w:after="12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Как избежать нарушений земельного законодательства?</w:t>
      </w:r>
    </w:p>
    <w:p>
      <w:pPr>
        <w:spacing w:after="120" w:line="360" w:lineRule="auto"/>
        <w:jc w:val="center"/>
        <w:rPr>
          <w:rFonts w:ascii="Times New Roman" w:eastAsia="Times New Roman" w:hAnsi="Times New Roman" w:cs="Times New Roman"/>
          <w:bCs/>
          <w:sz w:val="28"/>
          <w:szCs w:val="28"/>
          <w:lang w:eastAsia="ru-RU"/>
        </w:rPr>
      </w:pP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Государственный земельный надзор Росреестра направлен на предупреждение, выявление и пресечение нарушений требований земельного законодательства. Государство установило в отношении земельных ресурсов охранные меры, которые касаются без исключения всех собственников и пользователей участков. Однако о своих обязанностях знают далеко не все собственники, и иногда даже не догадываются, что нарушают закон.</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В этом материале подробно расскажем, какие нарушения земельного законодательства являются самыми распространенными, и что нужно знать, чтобы их избежать.</w:t>
      </w:r>
    </w:p>
    <w:p>
      <w:pPr>
        <w:spacing w:after="120" w:line="360" w:lineRule="auto"/>
        <w:ind w:firstLine="709"/>
        <w:jc w:val="both"/>
        <w:rPr>
          <w:rFonts w:ascii="Times New Roman" w:hAnsi="Times New Roman" w:cs="Times New Roman"/>
          <w:bCs/>
          <w:sz w:val="28"/>
        </w:rPr>
      </w:pPr>
      <w:r>
        <w:rPr>
          <w:rFonts w:ascii="Times New Roman" w:hAnsi="Times New Roman" w:cs="Times New Roman"/>
          <w:b/>
          <w:bCs/>
          <w:sz w:val="28"/>
        </w:rPr>
        <w:t>Каким образом проводятся проверки?</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Инспекторы Росреестра по использованию и охране земель могут самостоятельно выезжать на местность для проведения проверок или осуществлять мероприятия удаленно с помощью средств дистанционного зондирования Земли – беспилотных летательных аппаратов. Благодаря этому специалисты обследуют выбранную территорию комплексно для определения: используются ли земли в соответствии с требованиями закона, есть ли нарушения, а если да, то что является их причиной.</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В частности, причинами нарушений могут являться не умышленные действия правообладателей, а ошибки кадастровых инженеров, которые требуют устранения.</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Соблюдать законодательство обязаны все, поэтому инспекторы проверяют физических и юридических лиц, а также индивидуальных предпринимателей.</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lastRenderedPageBreak/>
        <w:t>Контрольные мероприятия бывают плановые и внеплановые. Плановые – проводятся в соответствии с ежегодными планами, утвержденными территориальными органами Росреестра после согласования с органами прокуратуры. Периодичность проведения плановых контрольных мероприятий определяется категорией риска, к которой отнесен земельный участок. Для земельных участков, отнесенных к категории среднего риска плановые проверки проводятся не чаще 1 раза в 3 года и не реже чем один раз в 6 лет; для земельных участков, отнесенных к категории умеренного риска, - не чаще чем 1 раз в 5 лет и не реже чем один раз в 6 лет. Для земельных участков, отнесенных к категории низкого риска и для земельных участков не вошедших в перечень земельных участков, отнесенных к категории среднего или умеренного риска, плановые контрольные (надзорные) мероприятия не проводятся.</w:t>
      </w:r>
    </w:p>
    <w:p>
      <w:pPr>
        <w:spacing w:after="120" w:line="360" w:lineRule="auto"/>
        <w:ind w:firstLine="709"/>
        <w:jc w:val="both"/>
        <w:rPr>
          <w:rFonts w:ascii="Times New Roman" w:hAnsi="Times New Roman" w:cs="Times New Roman"/>
          <w:bCs/>
          <w:sz w:val="28"/>
        </w:rPr>
      </w:pPr>
      <w:r>
        <w:rPr>
          <w:rFonts w:ascii="Times New Roman" w:hAnsi="Times New Roman" w:cs="Times New Roman"/>
          <w:b/>
          <w:bCs/>
          <w:sz w:val="28"/>
          <w:u w:val="single"/>
        </w:rPr>
        <w:t>Внеплановые проверки проводятся в случаях:</w:t>
      </w:r>
    </w:p>
    <w:p>
      <w:pPr>
        <w:numPr>
          <w:ilvl w:val="0"/>
          <w:numId w:val="3"/>
        </w:numPr>
        <w:tabs>
          <w:tab w:val="clear" w:pos="720"/>
          <w:tab w:val="num" w:pos="0"/>
        </w:tabs>
        <w:spacing w:after="120" w:line="360" w:lineRule="auto"/>
        <w:ind w:left="0" w:firstLine="709"/>
        <w:jc w:val="both"/>
        <w:rPr>
          <w:rFonts w:ascii="Times New Roman" w:hAnsi="Times New Roman" w:cs="Times New Roman"/>
          <w:bCs/>
          <w:sz w:val="28"/>
        </w:rPr>
      </w:pPr>
      <w:proofErr w:type="gramStart"/>
      <w:r>
        <w:rPr>
          <w:rFonts w:ascii="Times New Roman" w:hAnsi="Times New Roman" w:cs="Times New Roman"/>
          <w:bCs/>
          <w:sz w:val="28"/>
        </w:rPr>
        <w:t>получения</w:t>
      </w:r>
      <w:proofErr w:type="gramEnd"/>
      <w:r>
        <w:rPr>
          <w:rFonts w:ascii="Times New Roman" w:hAnsi="Times New Roman" w:cs="Times New Roman"/>
          <w:bCs/>
          <w:sz w:val="28"/>
        </w:rPr>
        <w:t xml:space="preserve"> от органов государственной власти, органов местного самоуправления, юридических лиц или граждан документов и иных доказательств, свидетельствующих о причинении вреда (ущерба) или об угрозе причинения вреда (ущерба) охраняемым законом ценностям;</w:t>
      </w:r>
    </w:p>
    <w:p>
      <w:pPr>
        <w:numPr>
          <w:ilvl w:val="0"/>
          <w:numId w:val="3"/>
        </w:numPr>
        <w:tabs>
          <w:tab w:val="clear" w:pos="720"/>
          <w:tab w:val="num" w:pos="0"/>
        </w:tabs>
        <w:spacing w:after="120" w:line="360" w:lineRule="auto"/>
        <w:ind w:left="0" w:firstLine="709"/>
        <w:jc w:val="both"/>
        <w:rPr>
          <w:rFonts w:ascii="Times New Roman" w:hAnsi="Times New Roman" w:cs="Times New Roman"/>
          <w:bCs/>
          <w:sz w:val="28"/>
        </w:rPr>
      </w:pPr>
      <w:proofErr w:type="gramStart"/>
      <w:r>
        <w:rPr>
          <w:rFonts w:ascii="Times New Roman" w:hAnsi="Times New Roman" w:cs="Times New Roman"/>
          <w:bCs/>
          <w:sz w:val="28"/>
        </w:rPr>
        <w:t>выявления</w:t>
      </w:r>
      <w:proofErr w:type="gramEnd"/>
      <w:r>
        <w:rPr>
          <w:rFonts w:ascii="Times New Roman" w:hAnsi="Times New Roman" w:cs="Times New Roman"/>
          <w:bCs/>
          <w:sz w:val="28"/>
        </w:rPr>
        <w:t xml:space="preserve"> индикаторов риска нарушения обязательных требований;</w:t>
      </w:r>
    </w:p>
    <w:p>
      <w:pPr>
        <w:numPr>
          <w:ilvl w:val="0"/>
          <w:numId w:val="3"/>
        </w:numPr>
        <w:tabs>
          <w:tab w:val="clear" w:pos="720"/>
          <w:tab w:val="num" w:pos="0"/>
        </w:tabs>
        <w:spacing w:after="120" w:line="360" w:lineRule="auto"/>
        <w:ind w:left="0" w:firstLine="709"/>
        <w:jc w:val="both"/>
        <w:rPr>
          <w:rFonts w:ascii="Times New Roman" w:hAnsi="Times New Roman" w:cs="Times New Roman"/>
          <w:bCs/>
          <w:sz w:val="28"/>
        </w:rPr>
      </w:pPr>
      <w:proofErr w:type="gramStart"/>
      <w:r>
        <w:rPr>
          <w:rFonts w:ascii="Times New Roman" w:hAnsi="Times New Roman" w:cs="Times New Roman"/>
          <w:bCs/>
          <w:sz w:val="28"/>
        </w:rPr>
        <w:t>поручения</w:t>
      </w:r>
      <w:proofErr w:type="gramEnd"/>
      <w:r>
        <w:rPr>
          <w:rFonts w:ascii="Times New Roman" w:hAnsi="Times New Roman" w:cs="Times New Roman"/>
          <w:bCs/>
          <w:sz w:val="28"/>
        </w:rPr>
        <w:t xml:space="preserve"> Президента Российской Федерации, Правительства Российской Федерации или требование прокурора о проведении контрольного (надзорного) мероприятия;</w:t>
      </w:r>
    </w:p>
    <w:p>
      <w:pPr>
        <w:numPr>
          <w:ilvl w:val="0"/>
          <w:numId w:val="3"/>
        </w:numPr>
        <w:tabs>
          <w:tab w:val="clear" w:pos="720"/>
          <w:tab w:val="num" w:pos="0"/>
        </w:tabs>
        <w:spacing w:after="120" w:line="360" w:lineRule="auto"/>
        <w:ind w:left="0" w:firstLine="709"/>
        <w:jc w:val="both"/>
        <w:rPr>
          <w:rFonts w:ascii="Times New Roman" w:hAnsi="Times New Roman" w:cs="Times New Roman"/>
          <w:bCs/>
          <w:sz w:val="28"/>
        </w:rPr>
      </w:pPr>
      <w:proofErr w:type="gramStart"/>
      <w:r>
        <w:rPr>
          <w:rFonts w:ascii="Times New Roman" w:hAnsi="Times New Roman" w:cs="Times New Roman"/>
          <w:bCs/>
          <w:sz w:val="28"/>
        </w:rPr>
        <w:t>наступления</w:t>
      </w:r>
      <w:proofErr w:type="gramEnd"/>
      <w:r>
        <w:rPr>
          <w:rFonts w:ascii="Times New Roman" w:hAnsi="Times New Roman" w:cs="Times New Roman"/>
          <w:bCs/>
          <w:sz w:val="28"/>
        </w:rPr>
        <w:t xml:space="preserve"> срока исполнения предписания об устранении выявленного нарушения земельного законодательства.</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 xml:space="preserve">Росреестр в числе первых федеральных органов исполнительной власти внедрил </w:t>
      </w:r>
      <w:r>
        <w:rPr>
          <w:rFonts w:ascii="Times New Roman" w:hAnsi="Times New Roman" w:cs="Times New Roman"/>
          <w:b/>
          <w:bCs/>
          <w:sz w:val="28"/>
        </w:rPr>
        <w:t>риск-ориентированный подход</w:t>
      </w:r>
      <w:r>
        <w:rPr>
          <w:rFonts w:ascii="Times New Roman" w:hAnsi="Times New Roman" w:cs="Times New Roman"/>
          <w:bCs/>
          <w:sz w:val="28"/>
        </w:rPr>
        <w:t xml:space="preserve"> как при планировании проверок, так и при принятии решений о проведении внеплановых проверок. То есть для проверок выбираются только те территории, где высок риск возникновения нарушений. При этом проверки участков, на которых нет нарушений, максимально сокращаются.</w:t>
      </w:r>
    </w:p>
    <w:p>
      <w:pPr>
        <w:spacing w:after="120" w:line="360" w:lineRule="auto"/>
        <w:ind w:firstLine="709"/>
        <w:jc w:val="both"/>
        <w:rPr>
          <w:rFonts w:ascii="Times New Roman" w:hAnsi="Times New Roman" w:cs="Times New Roman"/>
          <w:bCs/>
          <w:sz w:val="28"/>
        </w:rPr>
      </w:pPr>
      <w:r>
        <w:rPr>
          <w:rFonts w:ascii="Times New Roman" w:hAnsi="Times New Roman" w:cs="Times New Roman"/>
          <w:b/>
          <w:bCs/>
          <w:sz w:val="28"/>
        </w:rPr>
        <w:lastRenderedPageBreak/>
        <w:t>Какие бывают виды нарушений и за что могут оштрафовать владельцев земельных участков?</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К самым распространенным нарушениям земельного законодательства относятся:</w:t>
      </w:r>
    </w:p>
    <w:p>
      <w:pPr>
        <w:spacing w:after="120" w:line="360" w:lineRule="auto"/>
        <w:ind w:firstLine="709"/>
        <w:jc w:val="both"/>
        <w:rPr>
          <w:rFonts w:ascii="Times New Roman" w:hAnsi="Times New Roman" w:cs="Times New Roman"/>
          <w:bCs/>
          <w:sz w:val="28"/>
        </w:rPr>
      </w:pPr>
      <w:r>
        <w:rPr>
          <w:rFonts w:ascii="Times New Roman" w:hAnsi="Times New Roman" w:cs="Times New Roman"/>
          <w:b/>
          <w:bCs/>
          <w:sz w:val="28"/>
        </w:rPr>
        <w:t>-самовольное занятие земельного участка</w:t>
      </w:r>
      <w:r>
        <w:rPr>
          <w:rFonts w:ascii="Times New Roman" w:hAnsi="Times New Roman" w:cs="Times New Roman"/>
          <w:bCs/>
          <w:sz w:val="28"/>
        </w:rPr>
        <w:t xml:space="preserve"> (так называемые, </w:t>
      </w:r>
      <w:proofErr w:type="spellStart"/>
      <w:r>
        <w:rPr>
          <w:rFonts w:ascii="Times New Roman" w:hAnsi="Times New Roman" w:cs="Times New Roman"/>
          <w:bCs/>
          <w:sz w:val="28"/>
        </w:rPr>
        <w:t>самозахваты</w:t>
      </w:r>
      <w:proofErr w:type="spellEnd"/>
      <w:r>
        <w:rPr>
          <w:rFonts w:ascii="Times New Roman" w:hAnsi="Times New Roman" w:cs="Times New Roman"/>
          <w:bCs/>
          <w:sz w:val="28"/>
        </w:rPr>
        <w:t>, или использование чужой земли без предусмотренных законом оснований)</w:t>
      </w:r>
    </w:p>
    <w:p>
      <w:pPr>
        <w:spacing w:after="120" w:line="360" w:lineRule="auto"/>
        <w:ind w:firstLine="709"/>
        <w:jc w:val="both"/>
        <w:rPr>
          <w:rFonts w:ascii="Times New Roman" w:hAnsi="Times New Roman" w:cs="Times New Roman"/>
          <w:bCs/>
          <w:sz w:val="28"/>
        </w:rPr>
      </w:pPr>
      <w:r>
        <w:rPr>
          <w:rFonts w:ascii="Times New Roman" w:hAnsi="Times New Roman" w:cs="Times New Roman"/>
          <w:b/>
          <w:bCs/>
          <w:sz w:val="28"/>
        </w:rPr>
        <w:t xml:space="preserve">- нецелевое использование земель, </w:t>
      </w:r>
      <w:r>
        <w:rPr>
          <w:rFonts w:ascii="Times New Roman" w:hAnsi="Times New Roman" w:cs="Times New Roman"/>
          <w:bCs/>
          <w:sz w:val="28"/>
        </w:rPr>
        <w:t>то есть использование участка не в соответствии с установленными для него целевым назначением и (или) видом разрешенного использования. Например, земельный участок имеет вид разрешенного использования «личное подсобное хозяйство», но на земельном участке собственник открыл магазин – это нарушение.</w:t>
      </w:r>
    </w:p>
    <w:p>
      <w:pPr>
        <w:spacing w:after="120" w:line="360" w:lineRule="auto"/>
        <w:ind w:firstLine="709"/>
        <w:jc w:val="both"/>
        <w:rPr>
          <w:rFonts w:ascii="Times New Roman" w:hAnsi="Times New Roman" w:cs="Times New Roman"/>
          <w:bCs/>
          <w:sz w:val="28"/>
        </w:rPr>
      </w:pPr>
      <w:r>
        <w:rPr>
          <w:rFonts w:ascii="Times New Roman" w:hAnsi="Times New Roman" w:cs="Times New Roman"/>
          <w:b/>
          <w:bCs/>
          <w:sz w:val="28"/>
        </w:rPr>
        <w:t>- неиспользование земель</w:t>
      </w:r>
      <w:r>
        <w:rPr>
          <w:rFonts w:ascii="Times New Roman" w:hAnsi="Times New Roman" w:cs="Times New Roman"/>
          <w:bCs/>
          <w:sz w:val="28"/>
        </w:rPr>
        <w:t>, предназначенных для жилищного или иного строительства, садоводства, огородничества, то есть если такие земельные участки не используется в течение установленного законодательством срока. Заброшенные участки создают угрозу стихийных свалок, зарастания сорной травой и пожаров, что приводит к негативным последствиям для собственников соседних участков.</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По результатам проведения контрольных (надзорных) мероприятий инспекторы составляют акты. В случае выявления нарушений после проведения проверки нарушителю выдаются предписания об устранении выявленных нарушений с указанием сроков их устранения. Инспектором после проведения контрольного (надзорного) мероприятия и в случае выявления нарушения может быть составлен протокол об административном правонарушении.</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 xml:space="preserve">Размер штрафа зависит от вида нарушения, кадастровой стоимости земельного участка, на котором оно допущено, а также от того, кто его допустил: юридическое лицо, физическое лицо или должностное. Если кадастровая стоимость такого земельного участка не определена, Кодекс Российской Федерации об </w:t>
      </w:r>
      <w:r>
        <w:rPr>
          <w:rFonts w:ascii="Times New Roman" w:hAnsi="Times New Roman" w:cs="Times New Roman"/>
          <w:bCs/>
          <w:sz w:val="28"/>
        </w:rPr>
        <w:lastRenderedPageBreak/>
        <w:t xml:space="preserve">административных правонарушениях (КоАП) устанавливает минимальную и </w:t>
      </w:r>
      <w:r>
        <w:rPr>
          <w:rFonts w:ascii="Times New Roman" w:hAnsi="Times New Roman" w:cs="Times New Roman"/>
          <w:bCs/>
          <w:noProof/>
          <w:sz w:val="28"/>
          <w:lang w:eastAsia="ru-RU"/>
        </w:rPr>
        <w:drawing>
          <wp:anchor distT="0" distB="0" distL="114300" distR="114300" simplePos="0" relativeHeight="251659263" behindDoc="0" locked="0" layoutInCell="1" allowOverlap="1">
            <wp:simplePos x="0" y="0"/>
            <wp:positionH relativeFrom="column">
              <wp:posOffset>-263525</wp:posOffset>
            </wp:positionH>
            <wp:positionV relativeFrom="paragraph">
              <wp:posOffset>680085</wp:posOffset>
            </wp:positionV>
            <wp:extent cx="7077075" cy="5307330"/>
            <wp:effectExtent l="0" t="0" r="9525" b="7620"/>
            <wp:wrapTopAndBottom/>
            <wp:docPr id="2" name="Рисунок 2" descr="https://kadastr.ru/upload/resize_cache/sprint.editor/931/792_600_1/img-1642659489-033-915-tablit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kadastr.ru/upload/resize_cache/sprint.editor/931/792_600_1/img-1642659489-033-915-tablits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77075" cy="53073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Cs/>
          <w:sz w:val="28"/>
        </w:rPr>
        <w:t>максимальную сумму штрафа.</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В предписании об устранении нарушения указывается срок, в течение которого необходимо устранить выявленное нарушение, а также способы его устранения.</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 xml:space="preserve">Правонарушитель имеет право до истечения срока устранения нарушения направить в территориальный орган Росреестра, который проводил проверку, информацию об устранении нарушения. Поступившая информация об устранении нарушения должна быть рассмотрена должностным лицом Росреестра, а также должен быть сделан вывод об устранении или </w:t>
      </w:r>
      <w:proofErr w:type="spellStart"/>
      <w:r>
        <w:rPr>
          <w:rFonts w:ascii="Times New Roman" w:hAnsi="Times New Roman" w:cs="Times New Roman"/>
          <w:bCs/>
          <w:sz w:val="28"/>
        </w:rPr>
        <w:t>неустранении</w:t>
      </w:r>
      <w:proofErr w:type="spellEnd"/>
      <w:r>
        <w:rPr>
          <w:rFonts w:ascii="Times New Roman" w:hAnsi="Times New Roman" w:cs="Times New Roman"/>
          <w:bCs/>
          <w:sz w:val="28"/>
        </w:rPr>
        <w:t xml:space="preserve"> нарушения.</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 xml:space="preserve">После истечения указанного в предписании срока, если от лица, которому выдано предписание, не поступила информация об устранении нарушения, или если поступившей информации недостаточно для установления факта устранения </w:t>
      </w:r>
      <w:r>
        <w:rPr>
          <w:rFonts w:ascii="Times New Roman" w:hAnsi="Times New Roman" w:cs="Times New Roman"/>
          <w:bCs/>
          <w:sz w:val="28"/>
        </w:rPr>
        <w:lastRenderedPageBreak/>
        <w:t>нарушения, проводится повторная проверка. Если в ходе повторной проверки нарушения не устранены, то уполномоченное должностное лицо Росреестра выдает нарушителю новое предписание об устранении нарушения земельного законодательства. При этом возбуждается дело об административном правонарушении, предусмотренном частью 25 или частью 26 статьи 19.5 КоАП РФ.</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 xml:space="preserve">Кроме того, территориальный орган Росреестра в течение 30 дней с момента выявления факта </w:t>
      </w:r>
      <w:proofErr w:type="spellStart"/>
      <w:r>
        <w:rPr>
          <w:rFonts w:ascii="Times New Roman" w:hAnsi="Times New Roman" w:cs="Times New Roman"/>
          <w:bCs/>
          <w:sz w:val="28"/>
        </w:rPr>
        <w:t>неустранения</w:t>
      </w:r>
      <w:proofErr w:type="spellEnd"/>
      <w:r>
        <w:rPr>
          <w:rFonts w:ascii="Times New Roman" w:hAnsi="Times New Roman" w:cs="Times New Roman"/>
          <w:bCs/>
          <w:sz w:val="28"/>
        </w:rPr>
        <w:t xml:space="preserve"> нарушения уведомляет об этом орган государственной власти или орган местного самоуправления. По законодательству они могут обратиться в суд с требованием о понуждении правонарушителя устранить нарушение требований законодательства, если оно допущено на землях, находящихся в государственной или муниципальной собственности.</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Также за правонарушения, связанные с неиспользованием земельного участка по целевому назначению или использовании земельного участка не в соответствии с установленным для него целевым назначением или видом разрешенного использования, земельный участок может быть изъят у правообладателя.</w:t>
      </w:r>
    </w:p>
    <w:p>
      <w:pPr>
        <w:spacing w:after="120" w:line="360" w:lineRule="auto"/>
        <w:ind w:firstLine="709"/>
        <w:jc w:val="both"/>
        <w:rPr>
          <w:rFonts w:ascii="Times New Roman" w:hAnsi="Times New Roman" w:cs="Times New Roman"/>
          <w:bCs/>
          <w:sz w:val="28"/>
        </w:rPr>
      </w:pPr>
      <w:r>
        <w:rPr>
          <w:rFonts w:ascii="Times New Roman" w:hAnsi="Times New Roman" w:cs="Times New Roman"/>
          <w:b/>
          <w:bCs/>
          <w:sz w:val="28"/>
        </w:rPr>
        <w:t>В каком случае земельный участок может быть изъят?</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 xml:space="preserve">Нужно понимать, что главная цель земельного надзора – профилактика и устранение нарушений требований законодательства. </w:t>
      </w:r>
      <w:hyperlink r:id="rId9" w:history="1">
        <w:r>
          <w:rPr>
            <w:rStyle w:val="ab"/>
            <w:rFonts w:ascii="Times New Roman" w:hAnsi="Times New Roman" w:cs="Times New Roman"/>
            <w:bCs/>
            <w:sz w:val="28"/>
          </w:rPr>
          <w:t>Изъятие</w:t>
        </w:r>
      </w:hyperlink>
      <w:r>
        <w:rPr>
          <w:rFonts w:ascii="Times New Roman" w:hAnsi="Times New Roman" w:cs="Times New Roman"/>
          <w:bCs/>
          <w:sz w:val="28"/>
        </w:rPr>
        <w:t xml:space="preserve"> земельных участков является исключительной мерой и возможно лишь по решению суда в том случае, если собственник не исполнил предписание об устранении нарушения.</w:t>
      </w:r>
    </w:p>
    <w:p>
      <w:pPr>
        <w:spacing w:after="120" w:line="360" w:lineRule="auto"/>
        <w:ind w:firstLine="709"/>
        <w:jc w:val="both"/>
        <w:rPr>
          <w:rFonts w:ascii="Times New Roman" w:hAnsi="Times New Roman" w:cs="Times New Roman"/>
          <w:bCs/>
          <w:sz w:val="28"/>
        </w:rPr>
      </w:pPr>
      <w:r>
        <w:rPr>
          <w:rFonts w:ascii="Times New Roman" w:hAnsi="Times New Roman" w:cs="Times New Roman"/>
          <w:b/>
          <w:bCs/>
          <w:sz w:val="28"/>
        </w:rPr>
        <w:t>ВАЖНО!</w:t>
      </w:r>
      <w:r>
        <w:rPr>
          <w:rFonts w:ascii="Times New Roman" w:hAnsi="Times New Roman" w:cs="Times New Roman"/>
          <w:bCs/>
          <w:sz w:val="28"/>
        </w:rPr>
        <w:t> Процедура принудительного изъятия проводится только при отказе (уклонении) устранить выявленное нарушение и после привлечения</w:t>
      </w:r>
      <w:r>
        <w:rPr>
          <w:rFonts w:ascii="Times New Roman" w:hAnsi="Times New Roman" w:cs="Times New Roman"/>
          <w:bCs/>
          <w:sz w:val="28"/>
        </w:rPr>
        <w:br/>
        <w:t xml:space="preserve">к административной ответственности лица, не выполнившего </w:t>
      </w:r>
      <w:proofErr w:type="gramStart"/>
      <w:r>
        <w:rPr>
          <w:rFonts w:ascii="Times New Roman" w:hAnsi="Times New Roman" w:cs="Times New Roman"/>
          <w:bCs/>
          <w:sz w:val="28"/>
        </w:rPr>
        <w:t>предписание,</w:t>
      </w:r>
      <w:r>
        <w:rPr>
          <w:rFonts w:ascii="Times New Roman" w:hAnsi="Times New Roman" w:cs="Times New Roman"/>
          <w:bCs/>
          <w:sz w:val="28"/>
        </w:rPr>
        <w:br/>
        <w:t>к</w:t>
      </w:r>
      <w:proofErr w:type="gramEnd"/>
      <w:r>
        <w:rPr>
          <w:rFonts w:ascii="Times New Roman" w:hAnsi="Times New Roman" w:cs="Times New Roman"/>
          <w:bCs/>
          <w:sz w:val="28"/>
        </w:rPr>
        <w:t xml:space="preserve"> административной ответственности. </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u w:val="single"/>
        </w:rPr>
        <w:t>Основания инициирования Росреестром процедуры изъятия земельного участка у собственника или расторжения договора аренды указаны в Гражданском кодексе Российской Федерации и Земельном кодексе Российской Федерации. Среди них:</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lastRenderedPageBreak/>
        <w:t>- неиспользование участка, предназначенного для жилищного или иного строительства, садоводства, огородничества в течение 3 лет;</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 использование земельного участка не в соответствии с установленных для него целевым назначением и (или) видом разрешенного использования.</w:t>
      </w:r>
    </w:p>
    <w:p>
      <w:pPr>
        <w:spacing w:after="120" w:line="360" w:lineRule="auto"/>
        <w:ind w:firstLine="709"/>
        <w:jc w:val="both"/>
        <w:rPr>
          <w:rFonts w:ascii="Times New Roman" w:hAnsi="Times New Roman" w:cs="Times New Roman"/>
          <w:bCs/>
          <w:sz w:val="28"/>
        </w:rPr>
      </w:pPr>
      <w:r>
        <w:rPr>
          <w:rFonts w:ascii="Times New Roman" w:hAnsi="Times New Roman" w:cs="Times New Roman"/>
          <w:b/>
          <w:bCs/>
          <w:sz w:val="28"/>
        </w:rPr>
        <w:t>Как избежать нарушения земельного законодательства и защитить свои права на пользование и владение земельным участком?</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Для того, чтобы избежать штрафов за нарушение требований земельного законодательства, всем землепользователям рекомендуется:</w:t>
      </w:r>
    </w:p>
    <w:p>
      <w:pPr>
        <w:numPr>
          <w:ilvl w:val="0"/>
          <w:numId w:val="4"/>
        </w:numPr>
        <w:tabs>
          <w:tab w:val="clear" w:pos="720"/>
          <w:tab w:val="num" w:pos="0"/>
        </w:tabs>
        <w:spacing w:after="120" w:line="360" w:lineRule="auto"/>
        <w:ind w:left="0" w:firstLine="709"/>
        <w:jc w:val="both"/>
        <w:rPr>
          <w:rFonts w:ascii="Times New Roman" w:hAnsi="Times New Roman" w:cs="Times New Roman"/>
          <w:bCs/>
          <w:sz w:val="28"/>
        </w:rPr>
      </w:pPr>
      <w:r>
        <w:rPr>
          <w:rFonts w:ascii="Times New Roman" w:hAnsi="Times New Roman" w:cs="Times New Roman"/>
          <w:bCs/>
          <w:sz w:val="28"/>
        </w:rPr>
        <w:t>Проверить наличие правоустанавливающих документов на земельный участок. Такими документами являются договоры купли-продажи, дарения, мены и иные случаи, предусмотренные законодательством.</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 xml:space="preserve">Если документов на участок нет или утеряны, нужно восстановить их, оформить право на участок, зарегистрировав его в </w:t>
      </w:r>
      <w:proofErr w:type="spellStart"/>
      <w:r>
        <w:rPr>
          <w:rFonts w:ascii="Times New Roman" w:hAnsi="Times New Roman" w:cs="Times New Roman"/>
          <w:bCs/>
          <w:sz w:val="28"/>
        </w:rPr>
        <w:t>Росреестре</w:t>
      </w:r>
      <w:proofErr w:type="spellEnd"/>
      <w:r>
        <w:rPr>
          <w:rFonts w:ascii="Times New Roman" w:hAnsi="Times New Roman" w:cs="Times New Roman"/>
          <w:bCs/>
          <w:sz w:val="28"/>
        </w:rPr>
        <w:t>.</w:t>
      </w:r>
    </w:p>
    <w:p>
      <w:pPr>
        <w:numPr>
          <w:ilvl w:val="0"/>
          <w:numId w:val="4"/>
        </w:numPr>
        <w:tabs>
          <w:tab w:val="clear" w:pos="720"/>
          <w:tab w:val="num" w:pos="0"/>
        </w:tabs>
        <w:spacing w:after="120" w:line="360" w:lineRule="auto"/>
        <w:ind w:left="0" w:firstLine="709"/>
        <w:jc w:val="both"/>
        <w:rPr>
          <w:rFonts w:ascii="Times New Roman" w:hAnsi="Times New Roman" w:cs="Times New Roman"/>
          <w:bCs/>
          <w:sz w:val="28"/>
        </w:rPr>
      </w:pPr>
      <w:r>
        <w:rPr>
          <w:rFonts w:ascii="Times New Roman" w:hAnsi="Times New Roman" w:cs="Times New Roman"/>
          <w:bCs/>
          <w:sz w:val="28"/>
        </w:rPr>
        <w:t>Проверить наличие регистрации права на земельный участок в Едином государственном реестре недвижимости.</w:t>
      </w:r>
    </w:p>
    <w:p>
      <w:pPr>
        <w:numPr>
          <w:ilvl w:val="0"/>
          <w:numId w:val="4"/>
        </w:numPr>
        <w:tabs>
          <w:tab w:val="clear" w:pos="720"/>
          <w:tab w:val="num" w:pos="0"/>
        </w:tabs>
        <w:spacing w:after="120" w:line="360" w:lineRule="auto"/>
        <w:ind w:left="0" w:firstLine="709"/>
        <w:jc w:val="both"/>
        <w:rPr>
          <w:rFonts w:ascii="Times New Roman" w:hAnsi="Times New Roman" w:cs="Times New Roman"/>
          <w:bCs/>
          <w:sz w:val="28"/>
        </w:rPr>
      </w:pPr>
      <w:r>
        <w:rPr>
          <w:rFonts w:ascii="Times New Roman" w:hAnsi="Times New Roman" w:cs="Times New Roman"/>
          <w:bCs/>
          <w:sz w:val="28"/>
        </w:rPr>
        <w:t>Использовать земельный участок в установленных границах, сведения о которых внесены в Единый государственный реестр недвижимости (ЕГРН).</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 xml:space="preserve">Уточнить информацию о регистрации права и наличии сведений о местоположении границ земельного участка в ЕГРН можно в выписке из ЕГРН, заказать и получить которую можно с помощью </w:t>
      </w:r>
      <w:hyperlink r:id="rId10" w:history="1">
        <w:r>
          <w:rPr>
            <w:rStyle w:val="ab"/>
            <w:rFonts w:ascii="Times New Roman" w:hAnsi="Times New Roman" w:cs="Times New Roman"/>
            <w:bCs/>
            <w:sz w:val="28"/>
          </w:rPr>
          <w:t>электронных сервисов</w:t>
        </w:r>
      </w:hyperlink>
      <w:r>
        <w:rPr>
          <w:rFonts w:ascii="Times New Roman" w:hAnsi="Times New Roman" w:cs="Times New Roman"/>
          <w:bCs/>
          <w:sz w:val="28"/>
        </w:rPr>
        <w:t xml:space="preserve"> на сайте Росреестра, на </w:t>
      </w:r>
      <w:hyperlink r:id="rId11" w:history="1">
        <w:r>
          <w:rPr>
            <w:rStyle w:val="ab"/>
            <w:rFonts w:ascii="Times New Roman" w:hAnsi="Times New Roman" w:cs="Times New Roman"/>
            <w:bCs/>
            <w:sz w:val="28"/>
          </w:rPr>
          <w:t xml:space="preserve">портале </w:t>
        </w:r>
        <w:proofErr w:type="spellStart"/>
        <w:r>
          <w:rPr>
            <w:rStyle w:val="ab"/>
            <w:rFonts w:ascii="Times New Roman" w:hAnsi="Times New Roman" w:cs="Times New Roman"/>
            <w:bCs/>
            <w:sz w:val="28"/>
          </w:rPr>
          <w:t>Госуслуг</w:t>
        </w:r>
        <w:proofErr w:type="spellEnd"/>
      </w:hyperlink>
      <w:r>
        <w:rPr>
          <w:rFonts w:ascii="Times New Roman" w:hAnsi="Times New Roman" w:cs="Times New Roman"/>
          <w:bCs/>
          <w:sz w:val="28"/>
        </w:rPr>
        <w:t xml:space="preserve">, на </w:t>
      </w:r>
      <w:hyperlink r:id="rId12" w:history="1">
        <w:r>
          <w:rPr>
            <w:rStyle w:val="ab"/>
            <w:rFonts w:ascii="Times New Roman" w:hAnsi="Times New Roman" w:cs="Times New Roman"/>
            <w:bCs/>
            <w:sz w:val="28"/>
          </w:rPr>
          <w:t>сайте</w:t>
        </w:r>
      </w:hyperlink>
      <w:r>
        <w:rPr>
          <w:rFonts w:ascii="Times New Roman" w:hAnsi="Times New Roman" w:cs="Times New Roman"/>
          <w:bCs/>
          <w:sz w:val="28"/>
        </w:rPr>
        <w:t xml:space="preserve"> подведомственного ФГБУ «ФКП Росреестра», а также в МФЦ.</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 xml:space="preserve">Если границы не установлены, можно пригласить кадастрового инженера для проведения </w:t>
      </w:r>
      <w:hyperlink r:id="rId13" w:history="1">
        <w:r>
          <w:rPr>
            <w:rStyle w:val="ab"/>
            <w:rFonts w:ascii="Times New Roman" w:hAnsi="Times New Roman" w:cs="Times New Roman"/>
            <w:bCs/>
            <w:sz w:val="28"/>
          </w:rPr>
          <w:t>межевания</w:t>
        </w:r>
      </w:hyperlink>
      <w:r>
        <w:rPr>
          <w:rFonts w:ascii="Times New Roman" w:hAnsi="Times New Roman" w:cs="Times New Roman"/>
          <w:bCs/>
          <w:sz w:val="28"/>
        </w:rPr>
        <w:t xml:space="preserve"> земельного участка и внесения точных границ в ЕГРН. Это защитит владельцев от возможных споров с соседями или публичными собственниками.</w:t>
      </w:r>
    </w:p>
    <w:p>
      <w:pPr>
        <w:numPr>
          <w:ilvl w:val="0"/>
          <w:numId w:val="4"/>
        </w:numPr>
        <w:tabs>
          <w:tab w:val="clear" w:pos="720"/>
          <w:tab w:val="num" w:pos="0"/>
        </w:tabs>
        <w:spacing w:after="120" w:line="360" w:lineRule="auto"/>
        <w:ind w:left="0" w:firstLine="709"/>
        <w:jc w:val="both"/>
        <w:rPr>
          <w:rFonts w:ascii="Times New Roman" w:hAnsi="Times New Roman" w:cs="Times New Roman"/>
          <w:bCs/>
          <w:sz w:val="28"/>
        </w:rPr>
      </w:pPr>
      <w:r>
        <w:rPr>
          <w:rFonts w:ascii="Times New Roman" w:hAnsi="Times New Roman" w:cs="Times New Roman"/>
          <w:bCs/>
          <w:sz w:val="28"/>
        </w:rPr>
        <w:lastRenderedPageBreak/>
        <w:t>Убедиться, что фактически используемая площадь не превышает площади, указанной в правоустанавливающем документе.</w:t>
      </w:r>
    </w:p>
    <w:p>
      <w:pPr>
        <w:numPr>
          <w:ilvl w:val="0"/>
          <w:numId w:val="4"/>
        </w:numPr>
        <w:tabs>
          <w:tab w:val="clear" w:pos="720"/>
          <w:tab w:val="num" w:pos="0"/>
        </w:tabs>
        <w:spacing w:after="120" w:line="360" w:lineRule="auto"/>
        <w:ind w:left="0" w:firstLine="709"/>
        <w:jc w:val="both"/>
        <w:rPr>
          <w:rFonts w:ascii="Times New Roman" w:hAnsi="Times New Roman" w:cs="Times New Roman"/>
          <w:bCs/>
          <w:sz w:val="28"/>
        </w:rPr>
      </w:pPr>
      <w:r>
        <w:rPr>
          <w:rFonts w:ascii="Times New Roman" w:hAnsi="Times New Roman" w:cs="Times New Roman"/>
          <w:bCs/>
          <w:sz w:val="28"/>
        </w:rPr>
        <w:t>Осуществлять на участке деятельность в соответствии с установленным для земельного участка целевым назначением и видом разрешенного использования. Вид разрешенного использования земельного участка. Информация о виде разрешенного использования и целевом назначении земельного участка указана в выписке из ЕГРН.</w:t>
      </w:r>
      <w:bookmarkStart w:id="0" w:name="_GoBack"/>
      <w:bookmarkEnd w:id="0"/>
    </w:p>
    <w:p>
      <w:pPr>
        <w:spacing w:after="120" w:line="360" w:lineRule="auto"/>
        <w:jc w:val="both"/>
        <w:rPr>
          <w:rFonts w:ascii="Segoe UI" w:eastAsia="Times New Roman" w:hAnsi="Segoe UI" w:cs="Segoe UI"/>
          <w:color w:val="000000"/>
          <w:sz w:val="24"/>
          <w:szCs w:val="28"/>
          <w:lang w:eastAsia="ru-RU"/>
        </w:rPr>
      </w:pPr>
      <w:r>
        <w:rPr>
          <w:rFonts w:ascii="Segoe UI" w:eastAsia="Times New Roman" w:hAnsi="Segoe UI" w:cs="Segoe UI"/>
          <w:color w:val="000000"/>
          <w:sz w:val="24"/>
          <w:szCs w:val="28"/>
          <w:lang w:eastAsia="ru-RU"/>
        </w:rPr>
        <w:t>______________________________________________________________________________________________________</w:t>
      </w:r>
    </w:p>
    <w:p>
      <w:pPr>
        <w:spacing w:after="0" w:line="240" w:lineRule="auto"/>
        <w:jc w:val="both"/>
        <w:rPr>
          <w:rFonts w:ascii="Segoe UI" w:eastAsia="Times New Roman" w:hAnsi="Segoe UI" w:cs="Segoe UI"/>
          <w:color w:val="000000"/>
          <w:sz w:val="24"/>
          <w:szCs w:val="28"/>
          <w:lang w:eastAsia="ru-RU"/>
        </w:rPr>
      </w:pPr>
      <w:r>
        <w:rPr>
          <w:rFonts w:ascii="Segoe UI" w:eastAsia="Times New Roman" w:hAnsi="Segoe UI" w:cs="Segoe UI"/>
          <w:color w:val="000000"/>
          <w:sz w:val="24"/>
          <w:szCs w:val="28"/>
          <w:lang w:eastAsia="ru-RU"/>
        </w:rPr>
        <w:t>Пресс-служба Кадастровой палаты по Краснодарскому краю</w:t>
      </w:r>
    </w:p>
    <w:p>
      <w:pPr>
        <w:spacing w:after="0" w:line="240" w:lineRule="auto"/>
        <w:rPr>
          <w:rFonts w:ascii="Times New Roman" w:eastAsia="Times New Roman" w:hAnsi="Times New Roman" w:cs="Times New Roman"/>
          <w:color w:val="0563C1" w:themeColor="hyperlink"/>
          <w:u w:val="single"/>
          <w:lang w:eastAsia="ru-RU"/>
        </w:rPr>
      </w:pPr>
    </w:p>
    <w:tbl>
      <w:tblPr>
        <w:tblW w:w="10380" w:type="dxa"/>
        <w:jc w:val="center"/>
        <w:tblLayout w:type="fixed"/>
        <w:tblLook w:val="04A0" w:firstRow="1" w:lastRow="0" w:firstColumn="1" w:lastColumn="0" w:noHBand="0" w:noVBand="1"/>
      </w:tblPr>
      <w:tblGrid>
        <w:gridCol w:w="775"/>
        <w:gridCol w:w="4453"/>
        <w:gridCol w:w="672"/>
        <w:gridCol w:w="4480"/>
      </w:tblGrid>
      <w:tr>
        <w:trPr>
          <w:jc w:val="center"/>
        </w:trPr>
        <w:tc>
          <w:tcPr>
            <w:tcW w:w="775" w:type="dxa"/>
            <w:hideMark/>
          </w:tcPr>
          <w:p>
            <w:pPr>
              <w:spacing w:after="0" w:line="240" w:lineRule="auto"/>
              <w:contextualSpacing/>
              <w:rPr>
                <w:rFonts w:ascii="Segoe UI" w:eastAsia="Times New Roman" w:hAnsi="Segoe UI" w:cs="Segoe UI"/>
                <w:color w:val="0000FF"/>
                <w:sz w:val="24"/>
                <w:szCs w:val="28"/>
                <w:lang w:eastAsia="ru-RU"/>
              </w:rPr>
            </w:pPr>
            <w:r>
              <w:rPr>
                <w:rFonts w:ascii="Segoe UI" w:eastAsia="Times New Roman" w:hAnsi="Segoe UI" w:cs="Segoe UI"/>
                <w:noProof/>
                <w:color w:val="0000FF"/>
                <w:sz w:val="24"/>
                <w:szCs w:val="28"/>
                <w:lang w:eastAsia="ru-RU"/>
              </w:rPr>
              <w:drawing>
                <wp:inline distT="0" distB="0" distL="0" distR="0">
                  <wp:extent cx="361950" cy="361950"/>
                  <wp:effectExtent l="19050" t="0" r="0" b="0"/>
                  <wp:docPr id="6" name="Рисунок 6" descr="поч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чта"/>
                          <pic:cNvPicPr>
                            <a:picLocks noChangeAspect="1" noChangeArrowheads="1"/>
                          </pic:cNvPicPr>
                        </pic:nvPicPr>
                        <pic:blipFill>
                          <a:blip r:embed="rId14"/>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hideMark/>
          </w:tcPr>
          <w:p>
            <w:pPr>
              <w:spacing w:after="0" w:line="240" w:lineRule="auto"/>
              <w:contextualSpacing/>
              <w:rPr>
                <w:rFonts w:ascii="Segoe UI" w:eastAsia="Times New Roman" w:hAnsi="Segoe UI" w:cs="Segoe UI"/>
                <w:color w:val="0000FF"/>
                <w:sz w:val="24"/>
                <w:szCs w:val="28"/>
                <w:u w:val="single"/>
                <w:lang w:eastAsia="ru-RU"/>
              </w:rPr>
            </w:pPr>
            <w:hyperlink r:id="rId15" w:history="1">
              <w:r>
                <w:rPr>
                  <w:rFonts w:ascii="Segoe UI" w:eastAsia="Times New Roman" w:hAnsi="Segoe UI" w:cs="Segoe UI"/>
                  <w:color w:val="0563C1" w:themeColor="hyperlink"/>
                  <w:sz w:val="24"/>
                  <w:szCs w:val="28"/>
                  <w:u w:val="single"/>
                  <w:lang w:eastAsia="ru-RU"/>
                </w:rPr>
                <w:t>press23@23.kadastr.ru</w:t>
              </w:r>
            </w:hyperlink>
          </w:p>
        </w:tc>
        <w:tc>
          <w:tcPr>
            <w:tcW w:w="672" w:type="dxa"/>
            <w:hideMark/>
          </w:tcPr>
          <w:p>
            <w:pPr>
              <w:spacing w:after="0" w:line="240" w:lineRule="auto"/>
              <w:contextualSpacing/>
              <w:rPr>
                <w:rFonts w:ascii="Segoe UI" w:hAnsi="Segoe UI" w:cs="Segoe UI"/>
                <w:noProof/>
                <w:color w:val="0563C1" w:themeColor="hyperlink"/>
                <w:u w:val="single"/>
              </w:rPr>
            </w:pPr>
            <w:r>
              <w:rPr>
                <w:rFonts w:ascii="Segoe UI" w:hAnsi="Segoe UI" w:cs="Segoe UI"/>
                <w:noProof/>
                <w:color w:val="0000FF"/>
                <w:lang w:eastAsia="ru-RU"/>
              </w:rPr>
              <w:drawing>
                <wp:inline distT="0" distB="0" distL="0" distR="0">
                  <wp:extent cx="361950" cy="361950"/>
                  <wp:effectExtent l="19050" t="0" r="0" b="0"/>
                  <wp:docPr id="8" name="Рисунок 10" descr="ин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инста"/>
                          <pic:cNvPicPr>
                            <a:picLocks noChangeAspect="1" noChangeArrowheads="1"/>
                          </pic:cNvPicPr>
                        </pic:nvPicPr>
                        <pic:blipFill>
                          <a:blip r:embed="rId16"/>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80" w:type="dxa"/>
            <w:hideMark/>
          </w:tcPr>
          <w:p>
            <w:pPr>
              <w:spacing w:after="0" w:line="240" w:lineRule="auto"/>
              <w:contextualSpacing/>
              <w:rPr>
                <w:rFonts w:ascii="Segoe UI" w:hAnsi="Segoe UI" w:cs="Segoe UI"/>
                <w:color w:val="0000FF"/>
                <w:szCs w:val="28"/>
                <w:u w:val="single"/>
              </w:rPr>
            </w:pPr>
            <w:r>
              <w:rPr>
                <w:rFonts w:ascii="Segoe UI" w:hAnsi="Segoe UI" w:cs="Segoe UI"/>
                <w:color w:val="0000FF"/>
                <w:szCs w:val="28"/>
                <w:u w:val="single"/>
              </w:rPr>
              <w:t>https://www.instagram.com/kadastr_kuban</w:t>
            </w:r>
          </w:p>
        </w:tc>
      </w:tr>
      <w:tr>
        <w:trPr>
          <w:jc w:val="center"/>
        </w:trPr>
        <w:tc>
          <w:tcPr>
            <w:tcW w:w="775" w:type="dxa"/>
            <w:hideMark/>
          </w:tcPr>
          <w:p>
            <w:pPr>
              <w:spacing w:after="0" w:line="240" w:lineRule="auto"/>
              <w:contextualSpacing/>
              <w:rPr>
                <w:rFonts w:ascii="Segoe UI" w:eastAsia="Times New Roman" w:hAnsi="Segoe UI" w:cs="Segoe UI"/>
                <w:color w:val="0000FF"/>
                <w:sz w:val="24"/>
                <w:szCs w:val="28"/>
                <w:lang w:eastAsia="ru-RU"/>
              </w:rPr>
            </w:pPr>
            <w:r>
              <w:rPr>
                <w:rFonts w:ascii="Segoe UI" w:eastAsia="Times New Roman" w:hAnsi="Segoe UI" w:cs="Segoe UI"/>
                <w:noProof/>
                <w:color w:val="0000FF"/>
                <w:sz w:val="24"/>
                <w:szCs w:val="24"/>
                <w:lang w:eastAsia="ru-RU"/>
              </w:rPr>
              <w:drawing>
                <wp:inline distT="0" distB="0" distL="0" distR="0">
                  <wp:extent cx="361950" cy="361950"/>
                  <wp:effectExtent l="19050" t="0" r="0" b="0"/>
                  <wp:docPr id="10" name="Рисунок 12" descr="твит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твиттер"/>
                          <pic:cNvPicPr>
                            <a:picLocks noChangeAspect="1" noChangeArrowheads="1"/>
                          </pic:cNvPicPr>
                        </pic:nvPicPr>
                        <pic:blipFill>
                          <a:blip r:embed="rId17"/>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hideMark/>
          </w:tcPr>
          <w:p>
            <w:pPr>
              <w:spacing w:after="0" w:line="240" w:lineRule="auto"/>
              <w:contextualSpacing/>
              <w:rPr>
                <w:rFonts w:ascii="Segoe UI" w:eastAsia="Times New Roman" w:hAnsi="Segoe UI" w:cs="Segoe UI"/>
                <w:color w:val="0000FF"/>
                <w:sz w:val="24"/>
                <w:szCs w:val="28"/>
                <w:u w:val="single"/>
                <w:lang w:eastAsia="ru-RU"/>
              </w:rPr>
            </w:pPr>
            <w:r>
              <w:rPr>
                <w:rFonts w:ascii="Segoe UI" w:eastAsia="Times New Roman" w:hAnsi="Segoe UI" w:cs="Segoe UI"/>
                <w:color w:val="0000FF"/>
                <w:sz w:val="24"/>
                <w:szCs w:val="28"/>
                <w:u w:val="single"/>
                <w:lang w:eastAsia="ru-RU"/>
              </w:rPr>
              <w:t>https://twitter.com/Kadastr_Kuban</w:t>
            </w:r>
          </w:p>
        </w:tc>
        <w:tc>
          <w:tcPr>
            <w:tcW w:w="672" w:type="dxa"/>
            <w:hideMark/>
          </w:tcPr>
          <w:p>
            <w:pPr>
              <w:spacing w:after="0" w:line="240" w:lineRule="auto"/>
              <w:contextualSpacing/>
              <w:rPr>
                <w:rFonts w:ascii="Segoe UI" w:hAnsi="Segoe UI" w:cs="Segoe UI"/>
                <w:noProof/>
                <w:color w:val="0563C1" w:themeColor="hyperlink"/>
                <w:u w:val="single"/>
              </w:rPr>
            </w:pPr>
            <w:r>
              <w:rPr>
                <w:rFonts w:ascii="Segoe UI" w:hAnsi="Segoe UI" w:cs="Segoe UI"/>
                <w:noProof/>
                <w:color w:val="0000FF"/>
                <w:lang w:eastAsia="ru-RU"/>
              </w:rPr>
              <w:drawing>
                <wp:inline distT="0" distB="0" distL="0" distR="0">
                  <wp:extent cx="361950" cy="361950"/>
                  <wp:effectExtent l="19050" t="0" r="0" b="0"/>
                  <wp:docPr id="11" name="Рисунок 11" descr="теле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телеграм"/>
                          <pic:cNvPicPr>
                            <a:picLocks noChangeAspect="1" noChangeArrowheads="1"/>
                          </pic:cNvPicPr>
                        </pic:nvPicPr>
                        <pic:blipFill>
                          <a:blip r:embed="rId18"/>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80" w:type="dxa"/>
            <w:hideMark/>
          </w:tcPr>
          <w:p>
            <w:pPr>
              <w:spacing w:after="0" w:line="240" w:lineRule="auto"/>
              <w:contextualSpacing/>
              <w:rPr>
                <w:rFonts w:ascii="Segoe UI" w:hAnsi="Segoe UI" w:cs="Segoe UI"/>
                <w:color w:val="0000FF"/>
                <w:szCs w:val="28"/>
                <w:u w:val="single"/>
              </w:rPr>
            </w:pPr>
            <w:r>
              <w:rPr>
                <w:rFonts w:ascii="Segoe UI" w:hAnsi="Segoe UI" w:cs="Segoe UI"/>
                <w:color w:val="0000FF"/>
                <w:szCs w:val="28"/>
                <w:u w:val="single"/>
              </w:rPr>
              <w:t>https://t.me/kadastr_kuban</w:t>
            </w:r>
          </w:p>
        </w:tc>
      </w:tr>
    </w:tbl>
    <w:p>
      <w:pPr>
        <w:spacing w:after="120" w:line="360" w:lineRule="auto"/>
        <w:ind w:firstLine="709"/>
        <w:jc w:val="both"/>
        <w:rPr>
          <w:sz w:val="2"/>
          <w:szCs w:val="2"/>
        </w:rPr>
      </w:pPr>
    </w:p>
    <w:sectPr>
      <w:footerReference w:type="default" r:id="rId19"/>
      <w:pgSz w:w="11906" w:h="16838"/>
      <w:pgMar w:top="1134" w:right="567" w:bottom="1134"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tabs>
        <w:tab w:val="center" w:pos="4677"/>
        <w:tab w:val="right" w:pos="9355"/>
      </w:tabs>
      <w:spacing w:after="0" w:line="240" w:lineRule="auto"/>
      <w:jc w:val="center"/>
      <w:rPr>
        <w:rFonts w:ascii="Times New Roman" w:hAnsi="Times New Roman"/>
        <w:sz w:val="20"/>
      </w:rPr>
    </w:pPr>
    <w:r>
      <w:rPr>
        <w:rFonts w:ascii="Times New Roman" w:hAnsi="Times New Roman"/>
        <w:sz w:val="20"/>
      </w:rPr>
      <w:t xml:space="preserve">ул. </w:t>
    </w:r>
    <w:proofErr w:type="spellStart"/>
    <w:r>
      <w:rPr>
        <w:rFonts w:ascii="Times New Roman" w:hAnsi="Times New Roman"/>
        <w:sz w:val="20"/>
      </w:rPr>
      <w:t>Сормовская</w:t>
    </w:r>
    <w:proofErr w:type="spellEnd"/>
    <w:r>
      <w:rPr>
        <w:rFonts w:ascii="Times New Roman" w:hAnsi="Times New Roman"/>
        <w:sz w:val="20"/>
      </w:rPr>
      <w:t>, д. 3, 350018</w:t>
    </w:r>
  </w:p>
  <w:p>
    <w:pPr>
      <w:tabs>
        <w:tab w:val="center" w:pos="4677"/>
        <w:tab w:val="right" w:pos="9355"/>
      </w:tabs>
      <w:spacing w:after="0" w:line="240" w:lineRule="auto"/>
      <w:jc w:val="center"/>
      <w:rPr>
        <w:rFonts w:ascii="Times New Roman" w:hAnsi="Times New Roman"/>
        <w:sz w:val="20"/>
      </w:rPr>
    </w:pPr>
    <w:r>
      <w:rPr>
        <w:rFonts w:ascii="Times New Roman" w:hAnsi="Times New Roman"/>
        <w:sz w:val="20"/>
      </w:rPr>
      <w:t>press23@23.kadastr.ru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44CF7"/>
    <w:multiLevelType w:val="multilevel"/>
    <w:tmpl w:val="A58C9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C1190E"/>
    <w:multiLevelType w:val="multilevel"/>
    <w:tmpl w:val="5A52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7B5BB4"/>
    <w:multiLevelType w:val="multilevel"/>
    <w:tmpl w:val="B66CD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CD435F"/>
    <w:multiLevelType w:val="hybridMultilevel"/>
    <w:tmpl w:val="C1EC14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17764A4"/>
    <w:multiLevelType w:val="multilevel"/>
    <w:tmpl w:val="6738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F336E9"/>
    <w:multiLevelType w:val="multilevel"/>
    <w:tmpl w:val="ACC486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0D0026-9A5B-4991-9BA4-A64604CC1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annotation reference"/>
    <w:basedOn w:val="a0"/>
    <w:uiPriority w:val="99"/>
    <w:semiHidden/>
    <w:unhideWhenUsed/>
    <w:rPr>
      <w:sz w:val="16"/>
      <w:szCs w:val="16"/>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paragraph" w:styleId="a7">
    <w:name w:val="annotation subject"/>
    <w:basedOn w:val="a5"/>
    <w:next w:val="a5"/>
    <w:link w:val="a8"/>
    <w:uiPriority w:val="99"/>
    <w:semiHidden/>
    <w:unhideWhenUsed/>
    <w:rPr>
      <w:b/>
      <w:bCs/>
    </w:rPr>
  </w:style>
  <w:style w:type="character" w:customStyle="1" w:styleId="a8">
    <w:name w:val="Тема примечания Знак"/>
    <w:basedOn w:val="a6"/>
    <w:link w:val="a7"/>
    <w:uiPriority w:val="99"/>
    <w:semiHidden/>
    <w:rPr>
      <w:b/>
      <w:bCs/>
      <w:sz w:val="20"/>
      <w:szCs w:val="20"/>
    </w:rPr>
  </w:style>
  <w:style w:type="paragraph" w:styleId="a9">
    <w:name w:val="Balloon Text"/>
    <w:basedOn w:val="a"/>
    <w:link w:val="aa"/>
    <w:uiPriority w:val="99"/>
    <w:semiHidden/>
    <w:unhideWhenUse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Pr>
      <w:rFonts w:ascii="Segoe UI" w:hAnsi="Segoe UI" w:cs="Segoe UI"/>
      <w:sz w:val="18"/>
      <w:szCs w:val="18"/>
    </w:rPr>
  </w:style>
  <w:style w:type="character" w:styleId="ab">
    <w:name w:val="Hyperlink"/>
    <w:basedOn w:val="a0"/>
    <w:uiPriority w:val="99"/>
    <w:unhideWhenUsed/>
    <w:rPr>
      <w:color w:val="0563C1" w:themeColor="hyperlink"/>
      <w:u w:val="single"/>
    </w:rPr>
  </w:style>
  <w:style w:type="character" w:styleId="ac">
    <w:name w:val="FollowedHyperlink"/>
    <w:basedOn w:val="a0"/>
    <w:uiPriority w:val="99"/>
    <w:semiHidden/>
    <w:unhideWhenUsed/>
    <w:rPr>
      <w:color w:val="954F72" w:themeColor="followedHyperlink"/>
      <w:u w:val="single"/>
    </w:rPr>
  </w:style>
  <w:style w:type="paragraph" w:styleId="ad">
    <w:name w:val="header"/>
    <w:basedOn w:val="a"/>
    <w:link w:val="ae"/>
    <w:uiPriority w:val="99"/>
    <w:unhideWhenUsed/>
    <w:pPr>
      <w:tabs>
        <w:tab w:val="center" w:pos="4677"/>
        <w:tab w:val="right" w:pos="9355"/>
      </w:tabs>
      <w:spacing w:after="0" w:line="240" w:lineRule="auto"/>
    </w:pPr>
  </w:style>
  <w:style w:type="character" w:customStyle="1" w:styleId="ae">
    <w:name w:val="Верхний колонтитул Знак"/>
    <w:basedOn w:val="a0"/>
    <w:link w:val="ad"/>
    <w:uiPriority w:val="99"/>
  </w:style>
  <w:style w:type="paragraph" w:styleId="af">
    <w:name w:val="footer"/>
    <w:basedOn w:val="a"/>
    <w:link w:val="af0"/>
    <w:uiPriority w:val="99"/>
    <w:unhideWhenUsed/>
    <w:pPr>
      <w:tabs>
        <w:tab w:val="center" w:pos="4677"/>
        <w:tab w:val="right" w:pos="9355"/>
      </w:tabs>
      <w:spacing w:after="0" w:line="240" w:lineRule="auto"/>
    </w:pPr>
  </w:style>
  <w:style w:type="character" w:customStyle="1" w:styleId="af0">
    <w:name w:val="Нижний колонтитул Знак"/>
    <w:basedOn w:val="a0"/>
    <w:link w:val="af"/>
    <w:uiPriority w:val="99"/>
  </w:style>
  <w:style w:type="table" w:styleId="af1">
    <w:name w:val="Table Grid"/>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874968">
      <w:bodyDiv w:val="1"/>
      <w:marLeft w:val="0"/>
      <w:marRight w:val="0"/>
      <w:marTop w:val="0"/>
      <w:marBottom w:val="0"/>
      <w:divBdr>
        <w:top w:val="none" w:sz="0" w:space="0" w:color="auto"/>
        <w:left w:val="none" w:sz="0" w:space="0" w:color="auto"/>
        <w:bottom w:val="none" w:sz="0" w:space="0" w:color="auto"/>
        <w:right w:val="none" w:sz="0" w:space="0" w:color="auto"/>
      </w:divBdr>
    </w:div>
    <w:div w:id="710227380">
      <w:bodyDiv w:val="1"/>
      <w:marLeft w:val="0"/>
      <w:marRight w:val="0"/>
      <w:marTop w:val="0"/>
      <w:marBottom w:val="0"/>
      <w:divBdr>
        <w:top w:val="none" w:sz="0" w:space="0" w:color="auto"/>
        <w:left w:val="none" w:sz="0" w:space="0" w:color="auto"/>
        <w:bottom w:val="none" w:sz="0" w:space="0" w:color="auto"/>
        <w:right w:val="none" w:sz="0" w:space="0" w:color="auto"/>
      </w:divBdr>
    </w:div>
    <w:div w:id="747919477">
      <w:bodyDiv w:val="1"/>
      <w:marLeft w:val="0"/>
      <w:marRight w:val="0"/>
      <w:marTop w:val="0"/>
      <w:marBottom w:val="0"/>
      <w:divBdr>
        <w:top w:val="none" w:sz="0" w:space="0" w:color="auto"/>
        <w:left w:val="none" w:sz="0" w:space="0" w:color="auto"/>
        <w:bottom w:val="none" w:sz="0" w:space="0" w:color="auto"/>
        <w:right w:val="none" w:sz="0" w:space="0" w:color="auto"/>
      </w:divBdr>
    </w:div>
    <w:div w:id="999305849">
      <w:bodyDiv w:val="1"/>
      <w:marLeft w:val="0"/>
      <w:marRight w:val="0"/>
      <w:marTop w:val="0"/>
      <w:marBottom w:val="0"/>
      <w:divBdr>
        <w:top w:val="none" w:sz="0" w:space="0" w:color="auto"/>
        <w:left w:val="none" w:sz="0" w:space="0" w:color="auto"/>
        <w:bottom w:val="none" w:sz="0" w:space="0" w:color="auto"/>
        <w:right w:val="none" w:sz="0" w:space="0" w:color="auto"/>
      </w:divBdr>
    </w:div>
    <w:div w:id="150412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rosreestr.gov.ru/press/archive/vopros-otvet-kak-i-dlya-chego-provoditsya-mezhevanie-zemelnogo-uchastka/"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mailgate3.rosreestr.ru/owa/redir.aspx?REF=eZm4Cg595TIXrsq2cl7T4tcaDh_uuUU_kHYK6rkyP_Un-BZn6b_ZCAFodHRwczovL2thZGFzdHIucnUv"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ilgate3.rosreestr.ru/owa/redir.aspx?REF=5uXHO6bS_Wqp9lbU7nrG9gHaln0ZDAIgQDSlexBXAKcn-BZn6b_ZCAFodHRwczovL3d3dy5nb3N1c2x1Z2kucnUv" TargetMode="External"/><Relationship Id="rId5" Type="http://schemas.openxmlformats.org/officeDocument/2006/relationships/footnotes" Target="footnotes.xml"/><Relationship Id="rId15" Type="http://schemas.openxmlformats.org/officeDocument/2006/relationships/hyperlink" Target="mailto:press23@23.kadastr.ru" TargetMode="External"/><Relationship Id="rId10" Type="http://schemas.openxmlformats.org/officeDocument/2006/relationships/hyperlink" Target="https://mailgate3.rosreestr.ru/owa/redir.aspx?REF=EwBQ32D-YMUdidN2ZwXCQnFxdlsenF0JA2HC3A7SxZUn-BZn6b_ZCAFodHRwczovL3Jvc3JlZXN0ci5nb3YucnUvd3BzL3BvcnRhbC9wL2NjX3ByZXNlbnQvRUdSTl8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ultant.ru/document/cons_doc_LAW_37816/2b2c4472c2ae9d05ef211d956c6810af49989f79/"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1605</Words>
  <Characters>9152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Васильцов Никита Евгеньевич</dc:creator>
  <cp:keywords/>
  <dc:description/>
  <cp:lastModifiedBy>Назаренко Варвара Сергеевна</cp:lastModifiedBy>
  <cp:revision>27</cp:revision>
  <dcterms:created xsi:type="dcterms:W3CDTF">2021-07-30T12:29:00Z</dcterms:created>
  <dcterms:modified xsi:type="dcterms:W3CDTF">2022-01-21T09:39:00Z</dcterms:modified>
</cp:coreProperties>
</file>